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8A2D3D" w:rsidRDefault="00186C83" w:rsidP="008A2D3D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69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2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A2D3D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03141E" w:rsidRPr="008A2D3D" w:rsidRDefault="0003141E" w:rsidP="008A2D3D">
      <w:pPr>
        <w:spacing w:before="100" w:beforeAutospacing="1" w:after="100" w:afterAutospacing="1" w:line="360" w:lineRule="auto"/>
        <w:ind w:left="4254" w:firstLine="6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="008C6366" w:rsidRPr="008A2D3D">
        <w:rPr>
          <w:rFonts w:ascii="Book Antiqua" w:hAnsi="Book Antiqua"/>
          <w:b/>
          <w:i/>
          <w:sz w:val="24"/>
          <w:szCs w:val="24"/>
        </w:rPr>
        <w:t>Concede Incentivo e</w:t>
      </w:r>
      <w:r w:rsidR="008C6366" w:rsidRPr="008A2D3D">
        <w:rPr>
          <w:rFonts w:ascii="Book Antiqua" w:hAnsi="Book Antiqua" w:cs="Calibri"/>
          <w:b/>
          <w:i/>
          <w:sz w:val="24"/>
          <w:szCs w:val="24"/>
        </w:rPr>
        <w:t xml:space="preserve"> dá outras providências correlatas</w:t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8A2D3D" w:rsidRDefault="0003141E" w:rsidP="008A2D3D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8A2D3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seguinte:</w:t>
      </w:r>
    </w:p>
    <w:p w:rsidR="0003141E" w:rsidRPr="008A2D3D" w:rsidRDefault="0003141E" w:rsidP="008A2D3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8A2D3D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8C6366" w:rsidRPr="008A2D3D" w:rsidRDefault="0003141E" w:rsidP="008A2D3D">
      <w:pPr>
        <w:spacing w:before="240" w:after="240" w:line="360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br/>
      </w:r>
      <w:r w:rsidR="008A2D3D" w:rsidRPr="008A2D3D">
        <w:rPr>
          <w:rFonts w:ascii="Book Antiqua" w:hAnsi="Book Antiqua"/>
          <w:b/>
          <w:sz w:val="24"/>
          <w:szCs w:val="24"/>
        </w:rPr>
        <w:t xml:space="preserve">                                          </w:t>
      </w:r>
      <w:r w:rsidR="008C6366" w:rsidRPr="008A2D3D">
        <w:rPr>
          <w:rFonts w:ascii="Book Antiqua" w:hAnsi="Book Antiqua"/>
          <w:b/>
          <w:sz w:val="24"/>
          <w:szCs w:val="24"/>
        </w:rPr>
        <w:t xml:space="preserve">Art. 1º </w:t>
      </w:r>
      <w:r w:rsidR="008C6366" w:rsidRPr="008A2D3D">
        <w:rPr>
          <w:rFonts w:ascii="Book Antiqua" w:hAnsi="Book Antiqua"/>
          <w:sz w:val="24"/>
          <w:szCs w:val="24"/>
        </w:rPr>
        <w:t>- Fica o poder Executivo Municipal autorizado, a isentar IPTU das empresas abaixo mencionadas:</w:t>
      </w:r>
      <w:r w:rsidR="008C6366" w:rsidRPr="008A2D3D">
        <w:rPr>
          <w:rFonts w:ascii="Book Antiqua" w:hAnsi="Book Antiqua"/>
          <w:b/>
          <w:sz w:val="24"/>
          <w:szCs w:val="24"/>
        </w:rPr>
        <w:t xml:space="preserve"> </w:t>
      </w:r>
    </w:p>
    <w:p w:rsidR="008C6366" w:rsidRPr="008A2D3D" w:rsidRDefault="008C6366" w:rsidP="008A2D3D">
      <w:pPr>
        <w:tabs>
          <w:tab w:val="left" w:pos="2160"/>
        </w:tabs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A2D3D">
        <w:rPr>
          <w:rFonts w:ascii="Book Antiqua" w:hAnsi="Book Antiqua"/>
          <w:b/>
          <w:sz w:val="24"/>
          <w:szCs w:val="24"/>
        </w:rPr>
        <w:t xml:space="preserve">§1° LOTEADORA E INCORPORADORA PARAISO S/S LTDA, </w:t>
      </w:r>
      <w:r w:rsidRPr="008A2D3D">
        <w:rPr>
          <w:rFonts w:ascii="Book Antiqua" w:hAnsi="Book Antiqua"/>
          <w:sz w:val="24"/>
          <w:szCs w:val="24"/>
        </w:rPr>
        <w:t xml:space="preserve">pessoa jurídica de direito privado, inscrita junto ao CNPJ sob n° 03.819.091/0001-80, com sede na Rua </w:t>
      </w:r>
      <w:proofErr w:type="spellStart"/>
      <w:r w:rsidRPr="008A2D3D">
        <w:rPr>
          <w:rFonts w:ascii="Book Antiqua" w:hAnsi="Book Antiqua"/>
          <w:sz w:val="24"/>
          <w:szCs w:val="24"/>
        </w:rPr>
        <w:t>Benvinda</w:t>
      </w:r>
      <w:proofErr w:type="spellEnd"/>
      <w:r w:rsidRPr="008A2D3D">
        <w:rPr>
          <w:rFonts w:ascii="Book Antiqua" w:hAnsi="Book Antiqua"/>
          <w:sz w:val="24"/>
          <w:szCs w:val="24"/>
        </w:rPr>
        <w:t xml:space="preserve"> Hernandes, n° 1033, centro, Itaquiraí/MS.</w:t>
      </w:r>
    </w:p>
    <w:p w:rsidR="008C6366" w:rsidRPr="008A2D3D" w:rsidRDefault="008C6366" w:rsidP="008A2D3D">
      <w:pPr>
        <w:tabs>
          <w:tab w:val="left" w:pos="2160"/>
        </w:tabs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A2D3D">
        <w:rPr>
          <w:rFonts w:ascii="Book Antiqua" w:hAnsi="Book Antiqua"/>
          <w:b/>
          <w:sz w:val="24"/>
          <w:szCs w:val="24"/>
        </w:rPr>
        <w:t xml:space="preserve">§2° HERNANDEZ &amp; HERNANDEZ LTDA, </w:t>
      </w:r>
      <w:r w:rsidRPr="008A2D3D">
        <w:rPr>
          <w:rFonts w:ascii="Book Antiqua" w:hAnsi="Book Antiqua"/>
          <w:sz w:val="24"/>
          <w:szCs w:val="24"/>
        </w:rPr>
        <w:t>pessoa jurídica de direito privado, inscrita junto ao CNPJ sob n° 02.031.342/0001-02, com sede na Avenida Mato Grosso, n° 1600, centro, Itaquiraí/MS.</w:t>
      </w:r>
    </w:p>
    <w:p w:rsidR="008C6366" w:rsidRPr="008A2D3D" w:rsidRDefault="008C6366" w:rsidP="008A2D3D">
      <w:pPr>
        <w:tabs>
          <w:tab w:val="left" w:pos="2160"/>
        </w:tabs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A2D3D">
        <w:rPr>
          <w:rFonts w:ascii="Book Antiqua" w:hAnsi="Book Antiqua"/>
          <w:b/>
          <w:sz w:val="24"/>
          <w:szCs w:val="24"/>
        </w:rPr>
        <w:t>I -</w:t>
      </w:r>
      <w:r w:rsidRPr="008A2D3D">
        <w:rPr>
          <w:rFonts w:ascii="Book Antiqua" w:hAnsi="Book Antiqua"/>
          <w:sz w:val="24"/>
          <w:szCs w:val="24"/>
        </w:rPr>
        <w:t xml:space="preserve"> A isenção que trata a presente lei é exclusivamente referente aos empreendimentos mobiliários "Jardim Bem Viver" e "Residencial Morada do Sol".</w:t>
      </w:r>
    </w:p>
    <w:p w:rsidR="008C6366" w:rsidRPr="008A2D3D" w:rsidRDefault="008C6366" w:rsidP="008A2D3D">
      <w:pPr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A2D3D">
        <w:rPr>
          <w:rFonts w:ascii="Book Antiqua" w:hAnsi="Book Antiqua"/>
          <w:b/>
          <w:sz w:val="24"/>
          <w:szCs w:val="24"/>
        </w:rPr>
        <w:lastRenderedPageBreak/>
        <w:t>Art. 2°</w:t>
      </w:r>
      <w:r w:rsidRPr="008A2D3D">
        <w:rPr>
          <w:rFonts w:ascii="Book Antiqua" w:hAnsi="Book Antiqua"/>
          <w:sz w:val="24"/>
          <w:szCs w:val="24"/>
        </w:rPr>
        <w:t xml:space="preserve"> - Os lotes não comercializados ficarão isentos de IPTU por um período de 36 meses.</w:t>
      </w:r>
    </w:p>
    <w:p w:rsidR="008C6366" w:rsidRPr="008A2D3D" w:rsidRDefault="008C6366" w:rsidP="008A2D3D">
      <w:pPr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A2D3D">
        <w:rPr>
          <w:rFonts w:ascii="Book Antiqua" w:hAnsi="Book Antiqua"/>
          <w:sz w:val="24"/>
          <w:szCs w:val="24"/>
        </w:rPr>
        <w:t xml:space="preserve"> </w:t>
      </w:r>
      <w:r w:rsidRPr="008A2D3D">
        <w:rPr>
          <w:rFonts w:ascii="Book Antiqua" w:hAnsi="Book Antiqua"/>
          <w:b/>
          <w:sz w:val="24"/>
          <w:szCs w:val="24"/>
        </w:rPr>
        <w:t xml:space="preserve">Art. 3º </w:t>
      </w:r>
      <w:r w:rsidRPr="008A2D3D">
        <w:rPr>
          <w:rFonts w:ascii="Book Antiqua" w:hAnsi="Book Antiqua"/>
          <w:sz w:val="24"/>
          <w:szCs w:val="24"/>
        </w:rPr>
        <w:t xml:space="preserve">- Os proprietários e/ou incorporadores da respectiva área, deverão atender toda a Legislação </w:t>
      </w:r>
      <w:r w:rsidR="008A2D3D">
        <w:rPr>
          <w:rFonts w:ascii="Book Antiqua" w:hAnsi="Book Antiqua"/>
          <w:sz w:val="24"/>
          <w:szCs w:val="24"/>
        </w:rPr>
        <w:t>M</w:t>
      </w:r>
      <w:r w:rsidRPr="008A2D3D">
        <w:rPr>
          <w:rFonts w:ascii="Book Antiqua" w:hAnsi="Book Antiqua"/>
          <w:sz w:val="24"/>
          <w:szCs w:val="24"/>
        </w:rPr>
        <w:t>unicipal.</w:t>
      </w:r>
    </w:p>
    <w:p w:rsidR="008C6366" w:rsidRPr="008A2D3D" w:rsidRDefault="008C6366" w:rsidP="008A2D3D">
      <w:pPr>
        <w:spacing w:before="240" w:after="240"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 w:rsidRPr="008A2D3D">
        <w:rPr>
          <w:rFonts w:ascii="Book Antiqua" w:hAnsi="Book Antiqua"/>
          <w:b/>
          <w:sz w:val="24"/>
          <w:szCs w:val="24"/>
        </w:rPr>
        <w:t>Art. 4º</w:t>
      </w:r>
      <w:r w:rsidRPr="008A2D3D">
        <w:rPr>
          <w:rFonts w:ascii="Book Antiqua" w:hAnsi="Book Antiqua"/>
          <w:sz w:val="24"/>
          <w:szCs w:val="24"/>
        </w:rPr>
        <w:t xml:space="preserve"> -</w:t>
      </w:r>
      <w:r w:rsidRPr="008A2D3D">
        <w:rPr>
          <w:rFonts w:ascii="Book Antiqua" w:hAnsi="Book Antiqua"/>
          <w:b/>
          <w:sz w:val="24"/>
          <w:szCs w:val="24"/>
        </w:rPr>
        <w:t xml:space="preserve"> </w:t>
      </w:r>
      <w:r w:rsidRPr="008A2D3D">
        <w:rPr>
          <w:rFonts w:ascii="Book Antiqua" w:hAnsi="Book Antiqua"/>
          <w:sz w:val="24"/>
          <w:szCs w:val="24"/>
        </w:rPr>
        <w:t>Esta Lei entra em vigor na data de sua publicação, revogadas as disposições em contrário.</w:t>
      </w:r>
    </w:p>
    <w:p w:rsidR="0003141E" w:rsidRPr="008A2D3D" w:rsidRDefault="0003141E" w:rsidP="008A2D3D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</w:p>
    <w:p w:rsidR="0003141E" w:rsidRPr="008A2D3D" w:rsidRDefault="0003141E" w:rsidP="008A2D3D">
      <w:pPr>
        <w:pStyle w:val="Recuodecorpodetexto"/>
        <w:tabs>
          <w:tab w:val="left" w:pos="2160"/>
        </w:tabs>
        <w:spacing w:line="360" w:lineRule="auto"/>
        <w:ind w:firstLine="1980"/>
        <w:rPr>
          <w:rFonts w:ascii="Book Antiqua" w:hAnsi="Book Antiqua" w:cs="Calibri"/>
          <w:color w:val="000000" w:themeColor="text1"/>
          <w:sz w:val="24"/>
          <w:szCs w:val="24"/>
        </w:rPr>
      </w:pP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</w:t>
      </w:r>
      <w:proofErr w:type="gramStart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>Itaquiraí-MS</w:t>
      </w:r>
      <w:proofErr w:type="gramEnd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,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04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03141E" w:rsidRPr="008A2D3D" w:rsidRDefault="0003141E" w:rsidP="008A2D3D">
      <w:pPr>
        <w:spacing w:line="360" w:lineRule="auto"/>
        <w:jc w:val="both"/>
        <w:rPr>
          <w:rFonts w:ascii="Book Antiqua" w:eastAsia="Calibri" w:hAnsi="Book Antiqua" w:cs="Calibri"/>
          <w:i/>
          <w:color w:val="000000" w:themeColor="text1"/>
          <w:sz w:val="24"/>
          <w:szCs w:val="24"/>
        </w:rPr>
      </w:pPr>
    </w:p>
    <w:p w:rsidR="001019DD" w:rsidRPr="008A2D3D" w:rsidRDefault="001019DD" w:rsidP="008A2D3D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8A2D3D" w:rsidRDefault="004A31B7" w:rsidP="008A2D3D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8A2D3D" w:rsidRDefault="004A31B7" w:rsidP="008A2D3D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8A2D3D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66" w:rsidRDefault="008C6366">
      <w:r>
        <w:separator/>
      </w:r>
    </w:p>
  </w:endnote>
  <w:endnote w:type="continuationSeparator" w:id="1">
    <w:p w:rsidR="008C6366" w:rsidRDefault="008C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D7" w:rsidRPr="00BC00E4" w:rsidRDefault="00ED59D7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ED59D7" w:rsidRPr="00BC00E4" w:rsidRDefault="00ED59D7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ED59D7" w:rsidRDefault="00ED59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66" w:rsidRDefault="008C6366">
      <w:r>
        <w:separator/>
      </w:r>
    </w:p>
  </w:footnote>
  <w:footnote w:type="continuationSeparator" w:id="1">
    <w:p w:rsidR="008C6366" w:rsidRDefault="008C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D7" w:rsidRDefault="00ED59D7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5.35pt" o:ole="" fillcolor="window">
          <v:imagedata r:id="rId1" o:title=""/>
        </v:shape>
        <o:OLEObject Type="Embed" ProgID="CDraw5" ShapeID="_x0000_i1025" DrawAspect="Content" ObjectID="_1636958428" r:id="rId2"/>
      </w:object>
    </w:r>
  </w:p>
  <w:p w:rsidR="00ED59D7" w:rsidRPr="00636BCB" w:rsidRDefault="00ED59D7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ED59D7" w:rsidRPr="00BC00E4" w:rsidRDefault="00ED59D7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ED59D7" w:rsidRPr="00BC00E4" w:rsidRDefault="00ED59D7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ED59D7" w:rsidRDefault="00ED59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70FE"/>
    <w:rsid w:val="00A77EDC"/>
    <w:rsid w:val="00A80FD9"/>
    <w:rsid w:val="00A86111"/>
    <w:rsid w:val="00AA0C1F"/>
    <w:rsid w:val="00AA5A01"/>
    <w:rsid w:val="00AC00C4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1412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1</cp:revision>
  <cp:lastPrinted>2019-01-09T13:38:00Z</cp:lastPrinted>
  <dcterms:created xsi:type="dcterms:W3CDTF">2019-12-04T11:39:00Z</dcterms:created>
  <dcterms:modified xsi:type="dcterms:W3CDTF">2019-12-04T11:54:00Z</dcterms:modified>
</cp:coreProperties>
</file>